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85E1" w14:textId="2D8230FE" w:rsidR="00B70057" w:rsidRPr="00B211EF" w:rsidRDefault="00185335" w:rsidP="0028552B">
      <w:pPr>
        <w:tabs>
          <w:tab w:val="left" w:pos="7440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70057" w:rsidRPr="00B211EF">
        <w:rPr>
          <w:rFonts w:ascii="Times New Roman" w:eastAsia="Times New Roman" w:hAnsi="Times New Roman" w:cs="Times New Roman"/>
          <w:bCs/>
        </w:rPr>
        <w:t xml:space="preserve">May </w:t>
      </w:r>
      <w:r w:rsidRPr="00B211EF">
        <w:rPr>
          <w:rFonts w:ascii="Times New Roman" w:eastAsia="Times New Roman" w:hAnsi="Times New Roman" w:cs="Times New Roman"/>
          <w:bCs/>
        </w:rPr>
        <w:t>5,</w:t>
      </w:r>
      <w:r w:rsidR="00B70057" w:rsidRPr="00B211EF">
        <w:rPr>
          <w:rFonts w:ascii="Times New Roman" w:eastAsia="Times New Roman" w:hAnsi="Times New Roman" w:cs="Times New Roman"/>
          <w:bCs/>
        </w:rPr>
        <w:t xml:space="preserve"> 2020</w:t>
      </w:r>
      <w:r w:rsidR="00B70057" w:rsidRPr="00B211EF">
        <w:rPr>
          <w:rFonts w:ascii="Times New Roman" w:eastAsia="Times New Roman" w:hAnsi="Times New Roman" w:cs="Times New Roman"/>
          <w:bCs/>
        </w:rPr>
        <w:tab/>
      </w:r>
    </w:p>
    <w:p w14:paraId="1C12C67B" w14:textId="77777777" w:rsidR="00B70057" w:rsidRPr="00B211EF" w:rsidRDefault="00B70057" w:rsidP="00B70057">
      <w:pPr>
        <w:spacing w:before="240" w:after="240" w:line="240" w:lineRule="auto"/>
        <w:ind w:left="-720"/>
        <w:rPr>
          <w:rFonts w:ascii="Times New Roman" w:eastAsia="Times New Roman" w:hAnsi="Times New Roman" w:cs="Times New Roman"/>
          <w:bCs/>
        </w:rPr>
      </w:pPr>
    </w:p>
    <w:p w14:paraId="7EC1CC73" w14:textId="77777777" w:rsidR="00B70057" w:rsidRPr="00B211EF" w:rsidRDefault="00B70057" w:rsidP="00AC44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11EF">
        <w:rPr>
          <w:rFonts w:ascii="Times New Roman" w:eastAsia="Times New Roman" w:hAnsi="Times New Roman" w:cs="Times New Roman"/>
          <w:bCs/>
        </w:rPr>
        <w:t>Dear state leaders:</w:t>
      </w:r>
    </w:p>
    <w:p w14:paraId="4008661B" w14:textId="5ABDEDFA" w:rsidR="00B70057" w:rsidRPr="00B211EF" w:rsidRDefault="00B70057" w:rsidP="00AC446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211EF">
        <w:rPr>
          <w:rFonts w:ascii="Times New Roman" w:eastAsia="Times New Roman" w:hAnsi="Times New Roman" w:cs="Times New Roman"/>
          <w:shd w:val="clear" w:color="auto" w:fill="FFFFFF"/>
        </w:rPr>
        <w:t xml:space="preserve">The </w:t>
      </w:r>
      <w:r w:rsidR="00185335" w:rsidRPr="00B211EF">
        <w:rPr>
          <w:rFonts w:ascii="Times New Roman" w:eastAsia="Times New Roman" w:hAnsi="Times New Roman" w:cs="Times New Roman"/>
          <w:shd w:val="clear" w:color="auto" w:fill="FFFFFF"/>
        </w:rPr>
        <w:t>undersigned organizations</w:t>
      </w:r>
      <w:r w:rsidRPr="00B211EF">
        <w:rPr>
          <w:rFonts w:ascii="Times New Roman" w:eastAsia="Times New Roman" w:hAnsi="Times New Roman" w:cs="Times New Roman"/>
          <w:shd w:val="clear" w:color="auto" w:fill="FFFFFF"/>
        </w:rPr>
        <w:t xml:space="preserve"> urge state officials to prioritize the use of </w:t>
      </w:r>
      <w:r w:rsidR="00185335" w:rsidRPr="00B211EF">
        <w:rPr>
          <w:rFonts w:ascii="Times New Roman" w:eastAsia="Times New Roman" w:hAnsi="Times New Roman" w:cs="Times New Roman"/>
          <w:shd w:val="clear" w:color="auto" w:fill="FFFFFF"/>
        </w:rPr>
        <w:t>Community Development Block Grant (</w:t>
      </w:r>
      <w:r w:rsidRPr="00B211EF">
        <w:rPr>
          <w:rFonts w:ascii="Times New Roman" w:eastAsia="Times New Roman" w:hAnsi="Times New Roman" w:cs="Times New Roman"/>
          <w:shd w:val="clear" w:color="auto" w:fill="FFFFFF"/>
        </w:rPr>
        <w:t>CDBG</w:t>
      </w:r>
      <w:r w:rsidR="00185335" w:rsidRPr="00B211EF">
        <w:rPr>
          <w:rFonts w:ascii="Times New Roman" w:eastAsia="Times New Roman" w:hAnsi="Times New Roman" w:cs="Times New Roman"/>
          <w:shd w:val="clear" w:color="auto" w:fill="FFFFFF"/>
        </w:rPr>
        <w:t>)</w:t>
      </w:r>
      <w:r w:rsidRPr="00B211EF">
        <w:rPr>
          <w:rFonts w:ascii="Times New Roman" w:eastAsia="Times New Roman" w:hAnsi="Times New Roman" w:cs="Times New Roman"/>
          <w:shd w:val="clear" w:color="auto" w:fill="FFFFFF"/>
        </w:rPr>
        <w:t xml:space="preserve"> funds to provide rental assistance to ensure that impacted families remain stably housed during and after the COVID-19 crisis. </w:t>
      </w:r>
    </w:p>
    <w:p w14:paraId="1D41EEDB" w14:textId="3161C274" w:rsidR="00B70057" w:rsidRPr="00B211EF" w:rsidRDefault="00B70057" w:rsidP="00AC446A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 xml:space="preserve">On April 8, 2020, the federal government began CDBG funds provided by the federal Coronavirus Aid, Relief, and Economic Security (CARES) </w:t>
      </w:r>
      <w:r w:rsidR="00D11B5F" w:rsidRPr="00B211EF">
        <w:rPr>
          <w:rFonts w:ascii="Times New Roman" w:eastAsia="Times New Roman" w:hAnsi="Times New Roman" w:cs="Times New Roman"/>
        </w:rPr>
        <w:t>Ac</w:t>
      </w:r>
      <w:r w:rsidRPr="00B211EF">
        <w:rPr>
          <w:rFonts w:ascii="Times New Roman" w:eastAsia="Times New Roman" w:hAnsi="Times New Roman" w:cs="Times New Roman"/>
        </w:rPr>
        <w:t>t</w:t>
      </w:r>
      <w:r w:rsidR="00D11B5F" w:rsidRPr="00B211EF">
        <w:rPr>
          <w:rFonts w:ascii="Times New Roman" w:eastAsia="Times New Roman" w:hAnsi="Times New Roman" w:cs="Times New Roman"/>
        </w:rPr>
        <w:t xml:space="preserve">.  </w:t>
      </w:r>
      <w:r w:rsidRPr="00B211EF">
        <w:rPr>
          <w:rFonts w:ascii="Times New Roman" w:eastAsia="Times New Roman" w:hAnsi="Times New Roman" w:cs="Times New Roman"/>
        </w:rPr>
        <w:t xml:space="preserve">CDBG funds are provided to state governments and directly to some local governments to improve housing, living environments, and economic opportunities, principally for persons with low and moderate incomes. </w:t>
      </w:r>
      <w:bookmarkStart w:id="0" w:name="_Hlk39069912"/>
      <w:r w:rsidRPr="00B211EF">
        <w:rPr>
          <w:rFonts w:ascii="Times New Roman" w:eastAsia="Times New Roman" w:hAnsi="Times New Roman" w:cs="Times New Roman"/>
          <w:b/>
        </w:rPr>
        <w:t>State officials should prioritize the use of CDBG funds to provide rental assistance to ensure that impacted families can remain stably housed during and after the COVID-19 crisis</w:t>
      </w:r>
      <w:bookmarkStart w:id="1" w:name="_Hlk39068532"/>
      <w:r w:rsidR="00D11B5F" w:rsidRPr="00B211EF">
        <w:rPr>
          <w:rFonts w:ascii="Times New Roman" w:eastAsia="Times New Roman" w:hAnsi="Times New Roman" w:cs="Times New Roman"/>
          <w:b/>
        </w:rPr>
        <w:t xml:space="preserve">.  </w:t>
      </w:r>
      <w:r w:rsidR="0056258D" w:rsidRPr="00B211EF">
        <w:rPr>
          <w:rFonts w:ascii="Times New Roman" w:eastAsia="Times New Roman" w:hAnsi="Times New Roman" w:cs="Times New Roman"/>
        </w:rPr>
        <w:t>Providing up to three months of emergency rental assistance is an eligible use of state CDBG funds</w:t>
      </w:r>
      <w:r w:rsidR="00775815" w:rsidRPr="00B211EF">
        <w:rPr>
          <w:rFonts w:ascii="Times New Roman" w:eastAsia="Times New Roman" w:hAnsi="Times New Roman" w:cs="Times New Roman"/>
        </w:rPr>
        <w:t xml:space="preserve"> that is classified as “public services</w:t>
      </w:r>
      <w:r w:rsidR="0056258D" w:rsidRPr="00B211EF">
        <w:rPr>
          <w:rFonts w:ascii="Times New Roman" w:eastAsia="Times New Roman" w:hAnsi="Times New Roman" w:cs="Times New Roman"/>
        </w:rPr>
        <w:t>.</w:t>
      </w:r>
      <w:r w:rsidR="00775815" w:rsidRPr="00B211EF">
        <w:rPr>
          <w:rFonts w:ascii="Times New Roman" w:eastAsia="Times New Roman" w:hAnsi="Times New Roman" w:cs="Times New Roman"/>
        </w:rPr>
        <w:t>”</w:t>
      </w:r>
      <w:r w:rsidR="00665435" w:rsidRPr="00B211EF">
        <w:rPr>
          <w:rFonts w:ascii="Times New Roman" w:eastAsia="Times New Roman" w:hAnsi="Times New Roman" w:cs="Times New Roman"/>
        </w:rPr>
        <w:t xml:space="preserve"> </w:t>
      </w:r>
      <w:r w:rsidR="008C0F92" w:rsidRPr="00B211EF">
        <w:rPr>
          <w:rFonts w:ascii="Times New Roman" w:eastAsia="Times New Roman" w:hAnsi="Times New Roman" w:cs="Times New Roman"/>
        </w:rPr>
        <w:t>B</w:t>
      </w:r>
      <w:r w:rsidR="00665435" w:rsidRPr="00B211EF">
        <w:rPr>
          <w:rFonts w:ascii="Times New Roman" w:eastAsia="Times New Roman" w:hAnsi="Times New Roman" w:cs="Times New Roman"/>
        </w:rPr>
        <w:t>y eliminating the cap on funds that may be spent on public services</w:t>
      </w:r>
      <w:r w:rsidR="00775815" w:rsidRPr="00B211EF">
        <w:rPr>
          <w:rFonts w:ascii="Times New Roman" w:eastAsia="Times New Roman" w:hAnsi="Times New Roman" w:cs="Times New Roman"/>
        </w:rPr>
        <w:t xml:space="preserve"> that “prevent, prepare for, and respond to the coronavirus,” </w:t>
      </w:r>
      <w:r w:rsidR="00665435" w:rsidRPr="00B211EF">
        <w:rPr>
          <w:rFonts w:ascii="Times New Roman" w:eastAsia="Times New Roman" w:hAnsi="Times New Roman" w:cs="Times New Roman"/>
        </w:rPr>
        <w:t>Congress cleared the way for meeting low-income renters</w:t>
      </w:r>
      <w:r w:rsidR="00775815" w:rsidRPr="00B211EF">
        <w:rPr>
          <w:rFonts w:ascii="Times New Roman" w:eastAsia="Times New Roman" w:hAnsi="Times New Roman" w:cs="Times New Roman"/>
        </w:rPr>
        <w:t xml:space="preserve">’ </w:t>
      </w:r>
      <w:r w:rsidR="008C0F92" w:rsidRPr="00B211EF">
        <w:rPr>
          <w:rFonts w:ascii="Times New Roman" w:eastAsia="Times New Roman" w:hAnsi="Times New Roman" w:cs="Times New Roman"/>
        </w:rPr>
        <w:t xml:space="preserve">immediate </w:t>
      </w:r>
      <w:r w:rsidR="00775815" w:rsidRPr="00B211EF">
        <w:rPr>
          <w:rFonts w:ascii="Times New Roman" w:eastAsia="Times New Roman" w:hAnsi="Times New Roman" w:cs="Times New Roman"/>
        </w:rPr>
        <w:t>housing needs.</w:t>
      </w:r>
      <w:bookmarkEnd w:id="1"/>
    </w:p>
    <w:p w14:paraId="05750142" w14:textId="13F40E22" w:rsidR="00B70057" w:rsidRPr="00B211EF" w:rsidRDefault="00B70057" w:rsidP="00AC446A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 xml:space="preserve">Renters need immediate relief for rent payments amid the COVID-19 crisis. Renters have lower incomes and savings </w:t>
      </w:r>
      <w:r w:rsidR="004E5060" w:rsidRPr="00B211EF">
        <w:rPr>
          <w:rFonts w:ascii="Times New Roman" w:eastAsia="Times New Roman" w:hAnsi="Times New Roman" w:cs="Times New Roman"/>
        </w:rPr>
        <w:t>as well as</w:t>
      </w:r>
      <w:r w:rsidRPr="00B211EF">
        <w:rPr>
          <w:rFonts w:ascii="Times New Roman" w:eastAsia="Times New Roman" w:hAnsi="Times New Roman" w:cs="Times New Roman"/>
        </w:rPr>
        <w:t xml:space="preserve"> greater difficulty in paying for their housing costs, making them particularly vulnerable to economic shocks.</w:t>
      </w:r>
      <w:r w:rsidRPr="00B211EF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B211EF">
        <w:rPr>
          <w:rFonts w:ascii="Times New Roman" w:eastAsia="Times New Roman" w:hAnsi="Times New Roman" w:cs="Times New Roman"/>
        </w:rPr>
        <w:t xml:space="preserve"> The National Low Income Housing Coalition estimates that the number of extremely- and very-low-income renters who pay more than 50</w:t>
      </w:r>
      <w:r w:rsidR="004E5060" w:rsidRPr="00B211EF">
        <w:rPr>
          <w:rFonts w:ascii="Times New Roman" w:eastAsia="Times New Roman" w:hAnsi="Times New Roman" w:cs="Times New Roman"/>
        </w:rPr>
        <w:t xml:space="preserve"> percent</w:t>
      </w:r>
      <w:r w:rsidRPr="00B211EF">
        <w:rPr>
          <w:rFonts w:ascii="Times New Roman" w:eastAsia="Times New Roman" w:hAnsi="Times New Roman" w:cs="Times New Roman"/>
        </w:rPr>
        <w:t xml:space="preserve"> of their income on rent will increase by nearly 20</w:t>
      </w:r>
      <w:r w:rsidR="004E5060" w:rsidRPr="00B211EF">
        <w:rPr>
          <w:rFonts w:ascii="Times New Roman" w:eastAsia="Times New Roman" w:hAnsi="Times New Roman" w:cs="Times New Roman"/>
        </w:rPr>
        <w:t xml:space="preserve"> percent</w:t>
      </w:r>
      <w:r w:rsidRPr="00B211EF">
        <w:rPr>
          <w:rFonts w:ascii="Times New Roman" w:eastAsia="Times New Roman" w:hAnsi="Times New Roman" w:cs="Times New Roman"/>
        </w:rPr>
        <w:t xml:space="preserve"> as a result of the COVID-19 economic crisis.</w:t>
      </w:r>
      <w:r w:rsidRPr="00B211EF">
        <w:rPr>
          <w:rFonts w:ascii="Times New Roman" w:eastAsia="Times New Roman" w:hAnsi="Times New Roman" w:cs="Times New Roman"/>
          <w:vertAlign w:val="superscript"/>
        </w:rPr>
        <w:footnoteReference w:id="2"/>
      </w:r>
      <w:r w:rsidR="008C0F92" w:rsidRPr="00B211EF">
        <w:rPr>
          <w:rFonts w:ascii="Times New Roman" w:eastAsia="Times New Roman" w:hAnsi="Times New Roman" w:cs="Times New Roman"/>
        </w:rPr>
        <w:t xml:space="preserve"> A new report from the Terner Center for Housing Innovation estimates that approximately </w:t>
      </w:r>
      <w:r w:rsidR="004E5060" w:rsidRPr="00B211EF">
        <w:rPr>
          <w:rFonts w:ascii="Times New Roman" w:eastAsia="Times New Roman" w:hAnsi="Times New Roman" w:cs="Times New Roman"/>
          <w:i/>
          <w:iCs/>
        </w:rPr>
        <w:t>XXX</w:t>
      </w:r>
      <w:r w:rsidR="008C0F92" w:rsidRPr="00B211EF">
        <w:rPr>
          <w:rFonts w:ascii="Times New Roman" w:eastAsia="Times New Roman" w:hAnsi="Times New Roman" w:cs="Times New Roman"/>
        </w:rPr>
        <w:t xml:space="preserve"> of </w:t>
      </w:r>
      <w:r w:rsidR="004E5060" w:rsidRPr="00B211EF">
        <w:rPr>
          <w:rFonts w:ascii="Times New Roman" w:eastAsia="Times New Roman" w:hAnsi="Times New Roman" w:cs="Times New Roman"/>
          <w:i/>
          <w:iCs/>
        </w:rPr>
        <w:t>State</w:t>
      </w:r>
      <w:r w:rsidR="008C0F92" w:rsidRPr="00B211EF">
        <w:rPr>
          <w:rFonts w:ascii="Times New Roman" w:eastAsia="Times New Roman" w:hAnsi="Times New Roman" w:cs="Times New Roman"/>
        </w:rPr>
        <w:t xml:space="preserve"> renter households have at least one worker likely impacted by the COVID-19 crisis, amounting to $</w:t>
      </w:r>
      <w:r w:rsidR="004E5060" w:rsidRPr="00B211EF">
        <w:rPr>
          <w:rFonts w:ascii="Times New Roman" w:eastAsia="Times New Roman" w:hAnsi="Times New Roman" w:cs="Times New Roman"/>
          <w:i/>
          <w:iCs/>
        </w:rPr>
        <w:t>XXX</w:t>
      </w:r>
      <w:r w:rsidR="008C0F92" w:rsidRPr="00B211EF">
        <w:rPr>
          <w:rFonts w:ascii="Times New Roman" w:eastAsia="Times New Roman" w:hAnsi="Times New Roman" w:cs="Times New Roman"/>
        </w:rPr>
        <w:t xml:space="preserve"> million in monthly rent charges.</w:t>
      </w:r>
      <w:r w:rsidR="008C0F92" w:rsidRPr="00B211EF">
        <w:rPr>
          <w:rStyle w:val="FootnoteReference"/>
          <w:rFonts w:ascii="Times New Roman" w:eastAsia="Times New Roman" w:hAnsi="Times New Roman" w:cs="Times New Roman"/>
        </w:rPr>
        <w:footnoteReference w:id="3"/>
      </w:r>
    </w:p>
    <w:bookmarkEnd w:id="0"/>
    <w:p w14:paraId="5799BD53" w14:textId="77777777" w:rsidR="00AC446A" w:rsidRPr="00B211EF" w:rsidRDefault="00B70057" w:rsidP="00AC446A">
      <w:p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>Using CDBG funds to create new or supplement existing rental assistance programs will have multiple benefits:</w:t>
      </w:r>
    </w:p>
    <w:p w14:paraId="138AE3CF" w14:textId="36E0C8B6" w:rsidR="00AC446A" w:rsidRPr="00B211EF" w:rsidRDefault="00B70057" w:rsidP="00AC446A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 xml:space="preserve">Rental assistance is a necessary complement to eviction </w:t>
      </w:r>
      <w:r w:rsidR="00B211EF">
        <w:rPr>
          <w:rFonts w:ascii="Times New Roman" w:eastAsia="Times New Roman" w:hAnsi="Times New Roman" w:cs="Times New Roman"/>
        </w:rPr>
        <w:t>moratoria, which</w:t>
      </w:r>
      <w:r w:rsidRPr="00B211EF">
        <w:rPr>
          <w:rFonts w:ascii="Times New Roman" w:eastAsia="Times New Roman" w:hAnsi="Times New Roman" w:cs="Times New Roman"/>
        </w:rPr>
        <w:t xml:space="preserve"> do not eliminate the obligation to pay rent</w:t>
      </w:r>
      <w:r w:rsidR="00B211EF">
        <w:rPr>
          <w:rFonts w:ascii="Times New Roman" w:eastAsia="Times New Roman" w:hAnsi="Times New Roman" w:cs="Times New Roman"/>
        </w:rPr>
        <w:t xml:space="preserve">.  </w:t>
      </w:r>
      <w:r w:rsidRPr="00B211EF">
        <w:rPr>
          <w:rFonts w:ascii="Times New Roman" w:eastAsia="Times New Roman" w:hAnsi="Times New Roman" w:cs="Times New Roman"/>
        </w:rPr>
        <w:t>Unless relief is provided, renters who are impacted by the economic downturn and unable to pay back rents risk being evicted when the moratori</w:t>
      </w:r>
      <w:r w:rsidR="00B211EF">
        <w:rPr>
          <w:rFonts w:ascii="Times New Roman" w:eastAsia="Times New Roman" w:hAnsi="Times New Roman" w:cs="Times New Roman"/>
        </w:rPr>
        <w:t>a</w:t>
      </w:r>
      <w:r w:rsidRPr="00B211EF">
        <w:rPr>
          <w:rFonts w:ascii="Times New Roman" w:eastAsia="Times New Roman" w:hAnsi="Times New Roman" w:cs="Times New Roman"/>
        </w:rPr>
        <w:t xml:space="preserve"> expire.</w:t>
      </w:r>
    </w:p>
    <w:p w14:paraId="6B37F235" w14:textId="2E89AE1B" w:rsidR="00AC446A" w:rsidRPr="00B211EF" w:rsidRDefault="00B70057" w:rsidP="00AC446A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>Rental assistance helps to ensure that rental housing owners can continue to operate their buildings safely</w:t>
      </w:r>
      <w:r w:rsidR="004E5060" w:rsidRPr="00B211EF">
        <w:rPr>
          <w:rFonts w:ascii="Times New Roman" w:eastAsia="Times New Roman" w:hAnsi="Times New Roman" w:cs="Times New Roman"/>
        </w:rPr>
        <w:t xml:space="preserve">.  </w:t>
      </w:r>
      <w:r w:rsidRPr="00B211EF">
        <w:rPr>
          <w:rFonts w:ascii="Times New Roman" w:eastAsia="Times New Roman" w:hAnsi="Times New Roman" w:cs="Times New Roman"/>
        </w:rPr>
        <w:t>Many affordable rental units are in buildings that do not generate enough operating revenue to withstand a sudden loss of income</w:t>
      </w:r>
      <w:r w:rsidR="004E5060" w:rsidRPr="00B211EF">
        <w:rPr>
          <w:rFonts w:ascii="Times New Roman" w:eastAsia="Times New Roman" w:hAnsi="Times New Roman" w:cs="Times New Roman"/>
        </w:rPr>
        <w:t xml:space="preserve">.  </w:t>
      </w:r>
      <w:r w:rsidRPr="00B211EF">
        <w:rPr>
          <w:rFonts w:ascii="Times New Roman" w:eastAsia="Times New Roman" w:hAnsi="Times New Roman" w:cs="Times New Roman"/>
        </w:rPr>
        <w:t>Deferred maintenance could put renters at risk and lead to a loss of much needed affordable housing.</w:t>
      </w:r>
    </w:p>
    <w:p w14:paraId="48277470" w14:textId="6880BA04" w:rsidR="00AC446A" w:rsidRPr="00B211EF" w:rsidRDefault="00B70057" w:rsidP="00AC446A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>Rental assistance will benefit the local economy</w:t>
      </w:r>
      <w:r w:rsidR="004E5060" w:rsidRPr="00B211EF">
        <w:rPr>
          <w:rFonts w:ascii="Times New Roman" w:eastAsia="Times New Roman" w:hAnsi="Times New Roman" w:cs="Times New Roman"/>
        </w:rPr>
        <w:t xml:space="preserve">.  </w:t>
      </w:r>
      <w:r w:rsidRPr="00B211EF">
        <w:rPr>
          <w:rFonts w:ascii="Times New Roman" w:eastAsia="Times New Roman" w:hAnsi="Times New Roman" w:cs="Times New Roman"/>
        </w:rPr>
        <w:t>Providing relief to renters will help them stretch their limited income</w:t>
      </w:r>
      <w:r w:rsidR="00B211EF">
        <w:rPr>
          <w:rFonts w:ascii="Times New Roman" w:eastAsia="Times New Roman" w:hAnsi="Times New Roman" w:cs="Times New Roman"/>
        </w:rPr>
        <w:t>s</w:t>
      </w:r>
      <w:bookmarkStart w:id="2" w:name="_GoBack"/>
      <w:bookmarkEnd w:id="2"/>
      <w:r w:rsidRPr="00B211EF">
        <w:rPr>
          <w:rFonts w:ascii="Times New Roman" w:eastAsia="Times New Roman" w:hAnsi="Times New Roman" w:cs="Times New Roman"/>
        </w:rPr>
        <w:t xml:space="preserve"> so they can afford other essential household needs</w:t>
      </w:r>
      <w:r w:rsidR="004E5060" w:rsidRPr="00B211EF">
        <w:rPr>
          <w:rFonts w:ascii="Times New Roman" w:eastAsia="Times New Roman" w:hAnsi="Times New Roman" w:cs="Times New Roman"/>
        </w:rPr>
        <w:t xml:space="preserve">.  </w:t>
      </w:r>
      <w:r w:rsidRPr="00B211EF">
        <w:rPr>
          <w:rFonts w:ascii="Times New Roman" w:eastAsia="Times New Roman" w:hAnsi="Times New Roman" w:cs="Times New Roman"/>
        </w:rPr>
        <w:t xml:space="preserve">Helping building owners maintain their properties allows them to continue to employ their staff and purchase local goods and services. </w:t>
      </w:r>
    </w:p>
    <w:p w14:paraId="3548A992" w14:textId="6827C234" w:rsidR="00B70057" w:rsidRPr="00B211EF" w:rsidRDefault="00B70057" w:rsidP="00AC446A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>Rental assistance will protect renters in need who do not currently receive federal rental subsidies. Only 25</w:t>
      </w:r>
      <w:r w:rsidR="006215F9" w:rsidRPr="00B211EF">
        <w:rPr>
          <w:rFonts w:ascii="Times New Roman" w:eastAsia="Times New Roman" w:hAnsi="Times New Roman" w:cs="Times New Roman"/>
        </w:rPr>
        <w:t xml:space="preserve"> percent</w:t>
      </w:r>
      <w:r w:rsidRPr="00B211EF">
        <w:rPr>
          <w:rFonts w:ascii="Times New Roman" w:eastAsia="Times New Roman" w:hAnsi="Times New Roman" w:cs="Times New Roman"/>
        </w:rPr>
        <w:t xml:space="preserve"> of renters who are </w:t>
      </w:r>
      <w:r w:rsidR="006215F9" w:rsidRPr="00B211EF">
        <w:rPr>
          <w:rFonts w:ascii="Times New Roman" w:eastAsia="Times New Roman" w:hAnsi="Times New Roman" w:cs="Times New Roman"/>
        </w:rPr>
        <w:t>eligible for</w:t>
      </w:r>
      <w:r w:rsidRPr="00B211EF">
        <w:rPr>
          <w:rFonts w:ascii="Times New Roman" w:eastAsia="Times New Roman" w:hAnsi="Times New Roman" w:cs="Times New Roman"/>
        </w:rPr>
        <w:t xml:space="preserve"> </w:t>
      </w:r>
      <w:r w:rsidR="006215F9" w:rsidRPr="00B211EF">
        <w:rPr>
          <w:rFonts w:ascii="Times New Roman" w:eastAsia="Times New Roman" w:hAnsi="Times New Roman" w:cs="Times New Roman"/>
        </w:rPr>
        <w:t xml:space="preserve">federal </w:t>
      </w:r>
      <w:r w:rsidRPr="00B211EF">
        <w:rPr>
          <w:rFonts w:ascii="Times New Roman" w:eastAsia="Times New Roman" w:hAnsi="Times New Roman" w:cs="Times New Roman"/>
        </w:rPr>
        <w:t xml:space="preserve">rental assistance currently receive it. Tens </w:t>
      </w:r>
      <w:r w:rsidRPr="00B211EF">
        <w:rPr>
          <w:rFonts w:ascii="Times New Roman" w:eastAsia="Times New Roman" w:hAnsi="Times New Roman" w:cs="Times New Roman"/>
        </w:rPr>
        <w:lastRenderedPageBreak/>
        <w:t xml:space="preserve">of millions of renters living in naturally occurring affordable housing do not currently benefit from any rent subsidies. </w:t>
      </w:r>
    </w:p>
    <w:p w14:paraId="79CC162E" w14:textId="6715774A" w:rsidR="00FD56B8" w:rsidRPr="00B211EF" w:rsidRDefault="001C65D3" w:rsidP="00AC446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bookmarkStart w:id="3" w:name="_Hlk39069792"/>
      <w:r w:rsidRPr="00B211EF">
        <w:rPr>
          <w:rFonts w:ascii="Times New Roman" w:eastAsia="Times New Roman" w:hAnsi="Times New Roman" w:cs="Times New Roman"/>
        </w:rPr>
        <w:t>According t</w:t>
      </w:r>
      <w:r w:rsidR="0028552B" w:rsidRPr="00B211EF">
        <w:rPr>
          <w:rFonts w:ascii="Times New Roman" w:eastAsia="Times New Roman" w:hAnsi="Times New Roman" w:cs="Times New Roman"/>
        </w:rPr>
        <w:t>o t</w:t>
      </w:r>
      <w:r w:rsidRPr="00B211EF">
        <w:rPr>
          <w:rFonts w:ascii="Times New Roman" w:eastAsia="Times New Roman" w:hAnsi="Times New Roman" w:cs="Times New Roman"/>
        </w:rPr>
        <w:t xml:space="preserve">he U.S. Department of Labor, </w:t>
      </w:r>
      <w:bookmarkEnd w:id="3"/>
      <w:r w:rsidR="001D7E84" w:rsidRPr="00B211EF">
        <w:rPr>
          <w:rFonts w:ascii="Times New Roman" w:eastAsia="Times New Roman" w:hAnsi="Times New Roman" w:cs="Times New Roman"/>
        </w:rPr>
        <w:t>there</w:t>
      </w:r>
      <w:r w:rsidRPr="00B211EF">
        <w:rPr>
          <w:rFonts w:ascii="Times New Roman" w:eastAsia="Times New Roman" w:hAnsi="Times New Roman" w:cs="Times New Roman"/>
        </w:rPr>
        <w:t xml:space="preserve"> have been over 1.26 million unemployment claims filed in Michigan alone since the week of March 14, which is 25% of the state’s labor force</w:t>
      </w:r>
      <w:r w:rsidR="00B70057" w:rsidRPr="00B211EF">
        <w:rPr>
          <w:rFonts w:ascii="Times New Roman" w:eastAsia="Times New Roman" w:hAnsi="Times New Roman" w:cs="Times New Roman"/>
        </w:rPr>
        <w:t>.</w:t>
      </w:r>
      <w:r w:rsidRPr="00B211EF">
        <w:rPr>
          <w:rFonts w:ascii="Times New Roman" w:eastAsia="Times New Roman" w:hAnsi="Times New Roman" w:cs="Times New Roman"/>
        </w:rPr>
        <w:t xml:space="preserve"> </w:t>
      </w:r>
      <w:r w:rsidR="00B70057" w:rsidRPr="00B211EF">
        <w:rPr>
          <w:rFonts w:ascii="Times New Roman" w:eastAsia="Times New Roman" w:hAnsi="Times New Roman" w:cs="Times New Roman"/>
        </w:rPr>
        <w:t xml:space="preserve">At a time when Americans are being ordered to stay home, a person’s immediate and devastating loss of income cannot be allowed to increase their risk of displacement. Rental assistance to families and individuals is needed now. </w:t>
      </w:r>
    </w:p>
    <w:p w14:paraId="1CEB063A" w14:textId="77777777" w:rsidR="00FD56B8" w:rsidRPr="00B211EF" w:rsidRDefault="00FD56B8" w:rsidP="00AC44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B2651BB" w14:textId="51A12A9B" w:rsidR="00FD56B8" w:rsidRPr="00B211EF" w:rsidRDefault="00FD56B8" w:rsidP="00AC446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In addition, ensure that there is clear, accessible information made available about any program changes. </w:t>
      </w:r>
      <w:r w:rsidRPr="00B211EF">
        <w:rPr>
          <w:rFonts w:ascii="Times New Roman" w:eastAsia="Times New Roman" w:hAnsi="Times New Roman" w:cs="Times New Roman"/>
        </w:rPr>
        <w:t xml:space="preserve">Provide targeted outreach and engagement to ensure that those with disabilities and/or language and literacy barriers have equal access to rental assistance and other CDBG programs. </w:t>
      </w:r>
    </w:p>
    <w:p w14:paraId="31959CC3" w14:textId="77777777" w:rsidR="00B70057" w:rsidRPr="00B211EF" w:rsidRDefault="00B70057" w:rsidP="00AC446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3ABBE4E" w14:textId="77777777" w:rsidR="00B70057" w:rsidRPr="00B211EF" w:rsidRDefault="00B70057" w:rsidP="00AC446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 xml:space="preserve">Use the following link for </w:t>
      </w:r>
      <w:r w:rsidR="00432140" w:rsidRPr="00B211EF">
        <w:rPr>
          <w:rFonts w:ascii="Times New Roman" w:eastAsia="Times New Roman" w:hAnsi="Times New Roman" w:cs="Times New Roman"/>
        </w:rPr>
        <w:t xml:space="preserve">CARES CDBG </w:t>
      </w:r>
      <w:r w:rsidRPr="00B211EF">
        <w:rPr>
          <w:rFonts w:ascii="Times New Roman" w:eastAsia="Times New Roman" w:hAnsi="Times New Roman" w:cs="Times New Roman"/>
        </w:rPr>
        <w:t>funding allocation information provided by NLIHC:</w:t>
      </w:r>
    </w:p>
    <w:p w14:paraId="7EB08B87" w14:textId="54B977C2" w:rsidR="00B70057" w:rsidRPr="00B211EF" w:rsidRDefault="00B211EF" w:rsidP="00AC446A">
      <w:pPr>
        <w:spacing w:line="240" w:lineRule="auto"/>
        <w:jc w:val="both"/>
        <w:rPr>
          <w:rStyle w:val="Hyperlink"/>
          <w:rFonts w:ascii="Times New Roman" w:eastAsia="Times New Roman" w:hAnsi="Times New Roman" w:cs="Times New Roman"/>
          <w:color w:val="auto"/>
        </w:rPr>
      </w:pPr>
      <w:hyperlink r:id="rId8" w:history="1">
        <w:r w:rsidR="00B70057" w:rsidRPr="00B211EF">
          <w:rPr>
            <w:rStyle w:val="Hyperlink"/>
            <w:rFonts w:ascii="Times New Roman" w:eastAsia="Times New Roman" w:hAnsi="Times New Roman" w:cs="Times New Roman"/>
          </w:rPr>
          <w:t>https://nlihc.org/resource/hud-cpd-announces-initial-cares-act-cdbg-esg-and-hopwa-supplemental-formula-allocations</w:t>
        </w:r>
      </w:hyperlink>
      <w:r w:rsidR="00FD56B8" w:rsidRPr="00B211EF">
        <w:rPr>
          <w:rFonts w:ascii="Times New Roman" w:eastAsia="Times New Roman" w:hAnsi="Times New Roman" w:cs="Times New Roman"/>
        </w:rPr>
        <w:t>.</w:t>
      </w:r>
    </w:p>
    <w:p w14:paraId="64DEC7E8" w14:textId="77777777" w:rsidR="00B70057" w:rsidRPr="00B211EF" w:rsidRDefault="00B70057" w:rsidP="00AC446A">
      <w:pPr>
        <w:spacing w:line="240" w:lineRule="auto"/>
        <w:ind w:hanging="720"/>
        <w:jc w:val="both"/>
        <w:rPr>
          <w:rFonts w:ascii="Times New Roman" w:eastAsia="Times New Roman" w:hAnsi="Times New Roman" w:cs="Times New Roman"/>
        </w:rPr>
      </w:pPr>
    </w:p>
    <w:p w14:paraId="51A7F58F" w14:textId="42B8412C" w:rsidR="00B70057" w:rsidRPr="00B211EF" w:rsidRDefault="00B70057" w:rsidP="00AC446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B211EF">
        <w:rPr>
          <w:rFonts w:ascii="Times New Roman" w:eastAsia="Times New Roman" w:hAnsi="Times New Roman" w:cs="Times New Roman"/>
        </w:rPr>
        <w:t xml:space="preserve">For general inquiries, </w:t>
      </w:r>
      <w:r w:rsidR="0028552B" w:rsidRPr="00B211EF">
        <w:rPr>
          <w:rFonts w:ascii="Times New Roman" w:eastAsia="Times New Roman" w:hAnsi="Times New Roman" w:cs="Times New Roman"/>
        </w:rPr>
        <w:t xml:space="preserve">please </w:t>
      </w:r>
      <w:r w:rsidRPr="00B211EF">
        <w:rPr>
          <w:rFonts w:ascii="Times New Roman" w:eastAsia="Times New Roman" w:hAnsi="Times New Roman" w:cs="Times New Roman"/>
        </w:rPr>
        <w:t xml:space="preserve">contact Annika </w:t>
      </w:r>
      <w:r w:rsidR="0028552B" w:rsidRPr="00B211EF">
        <w:rPr>
          <w:rFonts w:ascii="Times New Roman" w:eastAsia="Times New Roman" w:hAnsi="Times New Roman" w:cs="Times New Roman"/>
        </w:rPr>
        <w:t xml:space="preserve">(Brink) </w:t>
      </w:r>
      <w:r w:rsidRPr="00B211EF">
        <w:rPr>
          <w:rFonts w:ascii="Times New Roman" w:eastAsia="Times New Roman" w:hAnsi="Times New Roman" w:cs="Times New Roman"/>
        </w:rPr>
        <w:t xml:space="preserve">Brindel of the National Housing Trust at </w:t>
      </w:r>
      <w:hyperlink r:id="rId9" w:history="1">
        <w:r w:rsidRPr="00B211EF">
          <w:rPr>
            <w:rStyle w:val="Hyperlink"/>
            <w:rFonts w:ascii="Times New Roman" w:eastAsia="Times New Roman" w:hAnsi="Times New Roman" w:cs="Times New Roman"/>
          </w:rPr>
          <w:t>abrindel@nhtinc.org</w:t>
        </w:r>
      </w:hyperlink>
      <w:r w:rsidRPr="00B211EF">
        <w:rPr>
          <w:rFonts w:ascii="Times New Roman" w:eastAsia="Times New Roman" w:hAnsi="Times New Roman" w:cs="Times New Roman"/>
        </w:rPr>
        <w:t>.</w:t>
      </w:r>
    </w:p>
    <w:p w14:paraId="33844677" w14:textId="77777777" w:rsidR="00B70057" w:rsidRPr="00B211EF" w:rsidRDefault="00B70057" w:rsidP="00AC446A">
      <w:pPr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</w:p>
    <w:p w14:paraId="74902310" w14:textId="77777777" w:rsidR="00B70057" w:rsidRPr="00B211EF" w:rsidRDefault="00B70057" w:rsidP="00AC446A">
      <w:pPr>
        <w:spacing w:line="240" w:lineRule="auto"/>
        <w:ind w:hanging="720"/>
        <w:jc w:val="both"/>
        <w:rPr>
          <w:rFonts w:ascii="Times New Roman" w:eastAsia="Times New Roman" w:hAnsi="Times New Roman" w:cs="Times New Roman"/>
          <w:color w:val="333333"/>
          <w:highlight w:val="white"/>
        </w:rPr>
      </w:pPr>
    </w:p>
    <w:p w14:paraId="589E02DD" w14:textId="2B10E432" w:rsidR="00B70057" w:rsidRPr="00B211EF" w:rsidRDefault="00B70057" w:rsidP="00AC446A">
      <w:pPr>
        <w:spacing w:line="240" w:lineRule="auto"/>
        <w:ind w:left="2880" w:firstLine="720"/>
        <w:jc w:val="both"/>
        <w:rPr>
          <w:rFonts w:ascii="Times New Roman" w:eastAsia="Times New Roman" w:hAnsi="Times New Roman" w:cs="Times New Roman"/>
          <w:highlight w:val="white"/>
        </w:rPr>
        <w:sectPr w:rsidR="00B70057" w:rsidRPr="00B211EF" w:rsidSect="00AC446A">
          <w:headerReference w:type="first" r:id="rId10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299"/>
        </w:sectPr>
      </w:pPr>
      <w:r w:rsidRPr="00B211EF">
        <w:rPr>
          <w:rFonts w:ascii="Times New Roman" w:eastAsia="Times New Roman" w:hAnsi="Times New Roman" w:cs="Times New Roman"/>
          <w:highlight w:val="white"/>
        </w:rPr>
        <w:t>On behalf of the following</w:t>
      </w:r>
      <w:r w:rsidR="007B7D17" w:rsidRPr="00B211EF">
        <w:rPr>
          <w:rFonts w:ascii="Times New Roman" w:eastAsia="Times New Roman" w:hAnsi="Times New Roman" w:cs="Times New Roman"/>
          <w:highlight w:val="white"/>
        </w:rPr>
        <w:t xml:space="preserve"> 31</w:t>
      </w:r>
      <w:r w:rsidRPr="00B211EF">
        <w:rPr>
          <w:rFonts w:ascii="Times New Roman" w:eastAsia="Times New Roman" w:hAnsi="Times New Roman" w:cs="Times New Roman"/>
          <w:highlight w:val="white"/>
        </w:rPr>
        <w:t xml:space="preserve"> individuals and organization</w:t>
      </w:r>
      <w:r w:rsidR="00954692" w:rsidRPr="00B211EF">
        <w:rPr>
          <w:rFonts w:ascii="Times New Roman" w:eastAsia="Times New Roman" w:hAnsi="Times New Roman" w:cs="Times New Roman"/>
          <w:highlight w:val="white"/>
        </w:rPr>
        <w:t>s</w:t>
      </w:r>
      <w:r w:rsidR="00243D7B" w:rsidRPr="00B211EF">
        <w:rPr>
          <w:rFonts w:ascii="Times New Roman" w:eastAsia="Times New Roman" w:hAnsi="Times New Roman" w:cs="Times New Roman"/>
          <w:highlight w:val="white"/>
        </w:rPr>
        <w:t>,</w:t>
      </w:r>
    </w:p>
    <w:p w14:paraId="1FA3C98B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Jennifer Hall</w:t>
      </w:r>
    </w:p>
    <w:p w14:paraId="69779849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Executive Director </w:t>
      </w:r>
    </w:p>
    <w:p w14:paraId="1AE3D315" w14:textId="7E440992" w:rsidR="00F7381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Ann Arbor Housing Commission</w:t>
      </w:r>
    </w:p>
    <w:p w14:paraId="39D6033C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3070B060" w14:textId="13302A5E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Phyllis Edwards</w:t>
      </w:r>
    </w:p>
    <w:p w14:paraId="6E2B1DBA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07205405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Bridging Communities</w:t>
      </w:r>
    </w:p>
    <w:p w14:paraId="569A6F0E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2156A459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Yolanda Jackson</w:t>
      </w:r>
    </w:p>
    <w:p w14:paraId="13EBA41B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Public Policy Manager</w:t>
      </w:r>
    </w:p>
    <w:p w14:paraId="52035502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Community Development Advocates of Detroit </w:t>
      </w:r>
    </w:p>
    <w:p w14:paraId="27B859AD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11B2E536" w14:textId="64E1063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Luke Forrest</w:t>
      </w:r>
    </w:p>
    <w:p w14:paraId="170FFA99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Executive Director </w:t>
      </w:r>
    </w:p>
    <w:p w14:paraId="5B0D78FA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Community Economic Development Assocation of Michigan </w:t>
      </w:r>
    </w:p>
    <w:p w14:paraId="6FE4C733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55B56482" w14:textId="1A27473E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Bob Mattler</w:t>
      </w:r>
    </w:p>
    <w:p w14:paraId="2ADD9FA0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Ambassador</w:t>
      </w:r>
    </w:p>
    <w:p w14:paraId="13419325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Detroit 2030 District</w:t>
      </w:r>
    </w:p>
    <w:p w14:paraId="4274C772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15142E91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Dennis Sturtevant</w:t>
      </w:r>
    </w:p>
    <w:p w14:paraId="424B3576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Chief Executive Officer</w:t>
      </w:r>
    </w:p>
    <w:p w14:paraId="5A4EBFF7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Dwelling Place of Grand Rapids NPHC</w:t>
      </w:r>
    </w:p>
    <w:p w14:paraId="6C41A403" w14:textId="77777777" w:rsidR="00F7381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</w:p>
    <w:p w14:paraId="0CB4C51E" w14:textId="2EE6EDE8" w:rsidR="00F7381C" w:rsidRPr="00B96EF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Alexis Blizman</w:t>
      </w:r>
    </w:p>
    <w:p w14:paraId="0DFABFDB" w14:textId="77777777" w:rsidR="00F7381C" w:rsidRPr="00B96EF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Legislative and Policy Director </w:t>
      </w:r>
    </w:p>
    <w:p w14:paraId="679EF1A0" w14:textId="77777777" w:rsidR="00F7381C" w:rsidRPr="00B96EF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Ecology Center</w:t>
      </w:r>
    </w:p>
    <w:p w14:paraId="13D90036" w14:textId="77777777" w:rsidR="00F7381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</w:p>
    <w:p w14:paraId="3ADB4622" w14:textId="3AA9817A" w:rsidR="00F7381C" w:rsidRPr="00B96EF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 xml:space="preserve">Briana DuBose </w:t>
      </w:r>
    </w:p>
    <w:p w14:paraId="091E6A62" w14:textId="77777777" w:rsidR="00F7381C" w:rsidRPr="00B96EF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Director of Strategic Community Initiatives</w:t>
      </w:r>
    </w:p>
    <w:p w14:paraId="6EE3F7E2" w14:textId="77777777" w:rsidR="00F7381C" w:rsidRPr="00B96EFC" w:rsidRDefault="00F7381C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 xml:space="preserve">EcoWorks Detroit </w:t>
      </w:r>
    </w:p>
    <w:p w14:paraId="71D352F1" w14:textId="77777777" w:rsidR="00F7381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3754AC4F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Stacy Esbrook</w:t>
      </w:r>
    </w:p>
    <w:p w14:paraId="46632F63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Affordable Housing Program Director</w:t>
      </w:r>
    </w:p>
    <w:p w14:paraId="661DB6E3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Enterprise Community Partners, Inc.</w:t>
      </w:r>
    </w:p>
    <w:p w14:paraId="64235B8A" w14:textId="77777777" w:rsidR="00F7381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5EC54393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John Heiss</w:t>
      </w:r>
    </w:p>
    <w:p w14:paraId="50BE4341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Foremost Development Company</w:t>
      </w:r>
    </w:p>
    <w:p w14:paraId="01F3F809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71936B1D" w14:textId="74046B57" w:rsidR="00243D7B" w:rsidRPr="00B96EFC" w:rsidRDefault="00FD56B8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David</w:t>
      </w:r>
      <w:r w:rsidR="00243D7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3D7B" w:rsidRPr="00B96EFC">
        <w:rPr>
          <w:rFonts w:ascii="Times New Roman" w:hAnsi="Times New Roman" w:cs="Times New Roman"/>
          <w:noProof/>
          <w:sz w:val="24"/>
          <w:szCs w:val="24"/>
        </w:rPr>
        <w:t>Weiss</w:t>
      </w:r>
    </w:p>
    <w:p w14:paraId="3F812A1A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CEO</w:t>
      </w:r>
    </w:p>
    <w:p w14:paraId="5938F6F1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General Capital Group</w:t>
      </w:r>
    </w:p>
    <w:p w14:paraId="79667109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0F7A90FF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21A8BBC0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7B61CFEF" w14:textId="77777777" w:rsidR="007B7D17" w:rsidRPr="00B96EFC" w:rsidRDefault="007B7D17" w:rsidP="007B7D17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Jeanine C. Hatcher </w:t>
      </w:r>
    </w:p>
    <w:p w14:paraId="727305D2" w14:textId="77777777" w:rsidR="007B7D17" w:rsidRPr="00B96EFC" w:rsidRDefault="007B7D17" w:rsidP="007B7D17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41B34F30" w14:textId="77777777" w:rsidR="007B7D17" w:rsidRPr="00B96EFC" w:rsidRDefault="007B7D17" w:rsidP="007B7D17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GenesisHOPE Community Development Corporation</w:t>
      </w:r>
    </w:p>
    <w:p w14:paraId="50C7965D" w14:textId="77777777" w:rsidR="007B7D17" w:rsidRDefault="007B7D17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6A0B5F47" w14:textId="16F1AEB2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Nat M. Zorach</w:t>
      </w:r>
    </w:p>
    <w:p w14:paraId="51530E1E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Principal</w:t>
      </w:r>
    </w:p>
    <w:p w14:paraId="7A51813E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The Handbuilt City</w:t>
      </w:r>
    </w:p>
    <w:p w14:paraId="5BFAD200" w14:textId="77777777" w:rsidR="00F7381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40E0C169" w14:textId="1CFE1F13" w:rsidR="008C6448" w:rsidRPr="00B96EFC" w:rsidRDefault="008C6448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Virgie M. Ammerman</w:t>
      </w:r>
    </w:p>
    <w:p w14:paraId="0968ACEB" w14:textId="77777777" w:rsidR="008C6448" w:rsidRPr="00B96EFC" w:rsidRDefault="008C6448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0FBE69B3" w14:textId="77777777" w:rsidR="008C6448" w:rsidRPr="00B96EFC" w:rsidRDefault="008C6448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Hope Network</w:t>
      </w:r>
    </w:p>
    <w:p w14:paraId="7C05B415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5F5F356A" w14:textId="29FA2261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Ryan Kilpatrick</w:t>
      </w:r>
    </w:p>
    <w:p w14:paraId="62911A91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73B51E90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Housing Next </w:t>
      </w:r>
    </w:p>
    <w:p w14:paraId="06627E1D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0B8CE57F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Sarah Lucas </w:t>
      </w:r>
    </w:p>
    <w:p w14:paraId="374CED23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1D3233CE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Housing North </w:t>
      </w:r>
    </w:p>
    <w:p w14:paraId="76692BDD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B472B92" w14:textId="7873329A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bCs/>
          <w:noProof/>
          <w:sz w:val="24"/>
          <w:szCs w:val="24"/>
        </w:rPr>
        <w:t>David M. Soule</w:t>
      </w:r>
    </w:p>
    <w:p w14:paraId="245F705C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Regional Vice President</w:t>
      </w:r>
    </w:p>
    <w:p w14:paraId="7C6637AF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KMG Prestige Inc.</w:t>
      </w:r>
    </w:p>
    <w:p w14:paraId="2EE4B859" w14:textId="77777777" w:rsidR="00F7381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3B293982" w14:textId="489C4A8C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Jeremy DeRoo</w:t>
      </w:r>
    </w:p>
    <w:p w14:paraId="3790050C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2B1E6884" w14:textId="77777777" w:rsidR="00F7381C" w:rsidRPr="00B96EFC" w:rsidRDefault="00F7381C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LINC Up Nonprofit Housing Corporation</w:t>
      </w:r>
    </w:p>
    <w:p w14:paraId="751EDCD0" w14:textId="77777777" w:rsidR="00243D7B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43ABE1B4" w14:textId="2B158F15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Charles Vliek</w:t>
      </w:r>
    </w:p>
    <w:p w14:paraId="33FE9CF8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49D8A31F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LISC Michigan Statewide (Kalamazoo and Flint)</w:t>
      </w:r>
    </w:p>
    <w:p w14:paraId="1DA89576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677A7FBF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John A. Kinch</w:t>
      </w:r>
    </w:p>
    <w:p w14:paraId="61839ED9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1171CA38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Michigan Energy Options</w:t>
      </w:r>
    </w:p>
    <w:p w14:paraId="16F6AB9D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</w:p>
    <w:p w14:paraId="0FD0EEAE" w14:textId="68FA98E4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Charlotte Jameson</w:t>
      </w:r>
    </w:p>
    <w:p w14:paraId="5D6146CD" w14:textId="77777777" w:rsidR="00243D7B" w:rsidRPr="00B96EFC" w:rsidRDefault="00243D7B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Program Director for Legislative Affairs, Energy, and Drinking Water</w:t>
      </w:r>
    </w:p>
    <w:p w14:paraId="4F6CFA4D" w14:textId="068A881A" w:rsidR="00243D7B" w:rsidRPr="00B96EFC" w:rsidRDefault="00243D7B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Michigan Environmental Council </w:t>
      </w:r>
    </w:p>
    <w:p w14:paraId="16E99F98" w14:textId="77777777" w:rsidR="00B70057" w:rsidRPr="00B96EFC" w:rsidRDefault="00B70057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14:paraId="7F28303B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Gilda Z. Jacobs</w:t>
      </w:r>
    </w:p>
    <w:p w14:paraId="43CF3188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President and CEO</w:t>
      </w:r>
    </w:p>
    <w:p w14:paraId="7EAC1009" w14:textId="77777777" w:rsidR="00243D7B" w:rsidRPr="00B96EFC" w:rsidRDefault="00243D7B" w:rsidP="00243D7B">
      <w:pPr>
        <w:spacing w:line="240" w:lineRule="auto"/>
        <w:ind w:right="18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Michigan League for Public Policy</w:t>
      </w:r>
    </w:p>
    <w:p w14:paraId="03D47659" w14:textId="77777777" w:rsidR="00B70057" w:rsidRPr="00B96EFC" w:rsidRDefault="00B70057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</w:p>
    <w:p w14:paraId="08CCE94F" w14:textId="77777777" w:rsidR="00B70057" w:rsidRPr="00B96EFC" w:rsidRDefault="00B70057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Annika (Brink) Brindel</w:t>
      </w:r>
    </w:p>
    <w:p w14:paraId="381F3F49" w14:textId="77777777" w:rsidR="00B70057" w:rsidRPr="00B96EFC" w:rsidRDefault="00B70057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Midwest Director of Energy Efficiency Policy</w:t>
      </w:r>
    </w:p>
    <w:p w14:paraId="21CBA737" w14:textId="77777777" w:rsidR="008C6448" w:rsidRPr="00B96EFC" w:rsidRDefault="00B70057" w:rsidP="00243D7B">
      <w:pPr>
        <w:spacing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National Housing Trust</w:t>
      </w:r>
    </w:p>
    <w:p w14:paraId="1CDABEB3" w14:textId="77777777" w:rsidR="008C6448" w:rsidRPr="00B96EFC" w:rsidRDefault="008C6448" w:rsidP="00243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822A5" w14:textId="77777777" w:rsidR="00F7381C" w:rsidRPr="00B96EFC" w:rsidRDefault="00F7381C" w:rsidP="00243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Laura Goldberg</w:t>
      </w:r>
    </w:p>
    <w:p w14:paraId="0145FF18" w14:textId="77777777" w:rsidR="00F7381C" w:rsidRPr="00B96EFC" w:rsidRDefault="00F7381C" w:rsidP="00243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Midwest Regional Director, Energy Efficiency for All</w:t>
      </w:r>
    </w:p>
    <w:p w14:paraId="34603E71" w14:textId="31259DC7" w:rsidR="00B70057" w:rsidRPr="00B96EFC" w:rsidRDefault="00F7381C" w:rsidP="00243D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6EFC">
        <w:rPr>
          <w:rFonts w:ascii="Times New Roman" w:eastAsia="Times New Roman" w:hAnsi="Times New Roman" w:cs="Times New Roman"/>
          <w:sz w:val="24"/>
          <w:szCs w:val="24"/>
        </w:rPr>
        <w:t>Natural Resources Defense Council </w:t>
      </w:r>
    </w:p>
    <w:p w14:paraId="37E7AC9D" w14:textId="77777777" w:rsidR="00243D7B" w:rsidRDefault="00243D7B" w:rsidP="00243D7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D9E5EA" w14:textId="77777777" w:rsidR="00243D7B" w:rsidRPr="00B96EFC" w:rsidRDefault="00243D7B" w:rsidP="00243D7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Jacob Horner</w:t>
      </w:r>
    </w:p>
    <w:p w14:paraId="1C560AFE" w14:textId="77777777" w:rsidR="00243D7B" w:rsidRPr="00B96EFC" w:rsidRDefault="00243D7B" w:rsidP="00243D7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VP of Development</w:t>
      </w:r>
    </w:p>
    <w:p w14:paraId="2BF0629B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PK Companies</w:t>
      </w:r>
    </w:p>
    <w:p w14:paraId="40038DDB" w14:textId="77777777" w:rsidR="00243D7B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</w:p>
    <w:p w14:paraId="3FA12F8B" w14:textId="0AECC253" w:rsidR="00243D7B" w:rsidRPr="00B96EFC" w:rsidRDefault="00243D7B" w:rsidP="00243D7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Robert Beale</w:t>
      </w:r>
    </w:p>
    <w:p w14:paraId="25A9AAC9" w14:textId="77777777" w:rsidR="00243D7B" w:rsidRPr="00B96EFC" w:rsidRDefault="00243D7B" w:rsidP="00243D7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President</w:t>
      </w:r>
    </w:p>
    <w:p w14:paraId="790998D7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Premier Property Management LLC</w:t>
      </w:r>
    </w:p>
    <w:p w14:paraId="00395650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</w:p>
    <w:p w14:paraId="2BFCD3B9" w14:textId="4ED1E585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Patti Kulick </w:t>
      </w:r>
    </w:p>
    <w:p w14:paraId="1D5336FA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Senior Portfolio Asset Manager</w:t>
      </w:r>
    </w:p>
    <w:p w14:paraId="1C70D556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Preservation of Affordable Housing, Inc.</w:t>
      </w:r>
    </w:p>
    <w:p w14:paraId="72BDD323" w14:textId="77777777" w:rsidR="008C6448" w:rsidRPr="00B96EFC" w:rsidRDefault="008C6448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</w:p>
    <w:p w14:paraId="4568D86A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Kathy Makino-Leipsitz</w:t>
      </w:r>
    </w:p>
    <w:p w14:paraId="62433000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Managing Partner</w:t>
      </w:r>
    </w:p>
    <w:p w14:paraId="46955381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 xml:space="preserve">Shelborne Development </w:t>
      </w:r>
    </w:p>
    <w:p w14:paraId="69B15E18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</w:p>
    <w:p w14:paraId="54739D94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Timothy S. Thorland</w:t>
      </w:r>
    </w:p>
    <w:p w14:paraId="72710EF4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76579ED3" w14:textId="77777777" w:rsidR="00243D7B" w:rsidRPr="00B96EFC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Southwest Solutions</w:t>
      </w:r>
    </w:p>
    <w:p w14:paraId="3210D273" w14:textId="77777777" w:rsidR="00243D7B" w:rsidRDefault="00243D7B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</w:p>
    <w:p w14:paraId="7759E0AB" w14:textId="636197FE" w:rsidR="008C6448" w:rsidRPr="00B96EFC" w:rsidRDefault="008C6448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Jeffrey F. Gates</w:t>
      </w:r>
    </w:p>
    <w:p w14:paraId="4E0D032C" w14:textId="77777777" w:rsidR="008C6448" w:rsidRPr="00B96EFC" w:rsidRDefault="008C6448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Member</w:t>
      </w:r>
    </w:p>
    <w:p w14:paraId="643F7CFC" w14:textId="77777777" w:rsidR="008C6448" w:rsidRPr="00B96EFC" w:rsidRDefault="008C6448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T J Acquisitions, LLC</w:t>
      </w:r>
    </w:p>
    <w:p w14:paraId="54E0E219" w14:textId="77777777" w:rsidR="008C6448" w:rsidRPr="00B96EFC" w:rsidRDefault="008C6448" w:rsidP="00243D7B">
      <w:pPr>
        <w:spacing w:line="240" w:lineRule="auto"/>
        <w:ind w:right="-720"/>
        <w:rPr>
          <w:rFonts w:ascii="Times New Roman" w:hAnsi="Times New Roman" w:cs="Times New Roman"/>
          <w:noProof/>
          <w:sz w:val="24"/>
          <w:szCs w:val="24"/>
        </w:rPr>
      </w:pPr>
    </w:p>
    <w:p w14:paraId="1DA87901" w14:textId="77777777" w:rsidR="003E64F7" w:rsidRPr="00B96EFC" w:rsidRDefault="003E64F7" w:rsidP="00243D7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Linda Smith</w:t>
      </w:r>
    </w:p>
    <w:p w14:paraId="6336D5F5" w14:textId="77777777" w:rsidR="003E64F7" w:rsidRPr="00B96EFC" w:rsidRDefault="003E64F7" w:rsidP="00243D7B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Executive Director</w:t>
      </w:r>
    </w:p>
    <w:p w14:paraId="35282EC1" w14:textId="13E0545D" w:rsidR="005622D2" w:rsidRPr="00B96EFC" w:rsidRDefault="003E64F7" w:rsidP="007B7D1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96EFC">
        <w:rPr>
          <w:rFonts w:ascii="Times New Roman" w:hAnsi="Times New Roman" w:cs="Times New Roman"/>
          <w:noProof/>
          <w:sz w:val="24"/>
          <w:szCs w:val="24"/>
        </w:rPr>
        <w:t>U SNAP BAC Inc/U SNAP BAC Non Profit Housing Corp.</w:t>
      </w:r>
    </w:p>
    <w:sectPr w:rsidR="005622D2" w:rsidRPr="00B96EFC" w:rsidSect="00243D7B">
      <w:pgSz w:w="12240" w:h="15840"/>
      <w:pgMar w:top="1440" w:right="1152" w:bottom="144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6A442" w14:textId="77777777" w:rsidR="00F166CC" w:rsidRDefault="00F166CC" w:rsidP="00B70057">
      <w:pPr>
        <w:spacing w:line="240" w:lineRule="auto"/>
      </w:pPr>
      <w:r>
        <w:separator/>
      </w:r>
    </w:p>
  </w:endnote>
  <w:endnote w:type="continuationSeparator" w:id="0">
    <w:p w14:paraId="210F3774" w14:textId="77777777" w:rsidR="00F166CC" w:rsidRDefault="00F166CC" w:rsidP="00B70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6596B" w14:textId="77777777" w:rsidR="00F166CC" w:rsidRDefault="00F166CC" w:rsidP="00B70057">
      <w:pPr>
        <w:spacing w:line="240" w:lineRule="auto"/>
      </w:pPr>
      <w:r>
        <w:separator/>
      </w:r>
    </w:p>
  </w:footnote>
  <w:footnote w:type="continuationSeparator" w:id="0">
    <w:p w14:paraId="728FD17E" w14:textId="77777777" w:rsidR="00F166CC" w:rsidRDefault="00F166CC" w:rsidP="00B70057">
      <w:pPr>
        <w:spacing w:line="240" w:lineRule="auto"/>
      </w:pPr>
      <w:r>
        <w:continuationSeparator/>
      </w:r>
    </w:p>
  </w:footnote>
  <w:footnote w:id="1">
    <w:p w14:paraId="5883691B" w14:textId="77777777" w:rsidR="008C6448" w:rsidRPr="0028552B" w:rsidRDefault="008C6448" w:rsidP="0028552B">
      <w:pPr>
        <w:spacing w:line="240" w:lineRule="auto"/>
        <w:ind w:right="-720"/>
        <w:rPr>
          <w:rFonts w:ascii="Times New Roman" w:hAnsi="Times New Roman" w:cs="Times New Roman"/>
          <w:sz w:val="20"/>
          <w:szCs w:val="20"/>
        </w:rPr>
      </w:pPr>
      <w:r w:rsidRPr="0028552B">
        <w:rPr>
          <w:rFonts w:ascii="Times New Roman" w:hAnsi="Times New Roman" w:cs="Times New Roman"/>
          <w:vertAlign w:val="superscript"/>
        </w:rPr>
        <w:footnoteRef/>
      </w:r>
      <w:r w:rsidRPr="0028552B">
        <w:rPr>
          <w:rFonts w:ascii="Times New Roman" w:hAnsi="Times New Roman" w:cs="Times New Roman"/>
        </w:rPr>
        <w:t xml:space="preserve"> </w:t>
      </w:r>
      <w:hyperlink r:id="rId1" w:history="1">
        <w:r w:rsidRPr="0028552B">
          <w:rPr>
            <w:rStyle w:val="Hyperlink"/>
            <w:rFonts w:ascii="Times New Roman" w:hAnsi="Times New Roman" w:cs="Times New Roman"/>
            <w:sz w:val="20"/>
            <w:szCs w:val="20"/>
          </w:rPr>
          <w:t>https://www.urban.org/urban-wire/covid-19-policy-responses-must-consider-pandemics-impact-young-renters-and-renters-color</w:t>
        </w:r>
      </w:hyperlink>
    </w:p>
  </w:footnote>
  <w:footnote w:id="2">
    <w:p w14:paraId="4C8EF8C3" w14:textId="77777777" w:rsidR="008C6448" w:rsidRPr="0028552B" w:rsidRDefault="008C6448" w:rsidP="0028552B">
      <w:pPr>
        <w:spacing w:line="240" w:lineRule="auto"/>
        <w:ind w:right="-720"/>
        <w:rPr>
          <w:rFonts w:ascii="Times New Roman" w:hAnsi="Times New Roman" w:cs="Times New Roman"/>
          <w:sz w:val="20"/>
          <w:szCs w:val="20"/>
        </w:rPr>
      </w:pPr>
      <w:r w:rsidRPr="0028552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28552B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Pr="0028552B">
          <w:rPr>
            <w:rStyle w:val="Hyperlink"/>
            <w:rFonts w:ascii="Times New Roman" w:hAnsi="Times New Roman" w:cs="Times New Roman"/>
            <w:sz w:val="20"/>
            <w:szCs w:val="20"/>
          </w:rPr>
          <w:t>https://nlihc.org/sites/default/files/Need-for-Rental-Assistance-During-the-COVID-19-and-Economic-Crisis.pdf</w:t>
        </w:r>
      </w:hyperlink>
    </w:p>
  </w:footnote>
  <w:footnote w:id="3">
    <w:p w14:paraId="23EA2942" w14:textId="77777777" w:rsidR="008C6448" w:rsidRPr="0028552B" w:rsidRDefault="008C6448" w:rsidP="0028552B">
      <w:pPr>
        <w:pStyle w:val="FootnoteText"/>
        <w:rPr>
          <w:rFonts w:ascii="Times New Roman" w:hAnsi="Times New Roman" w:cs="Times New Roman"/>
        </w:rPr>
      </w:pPr>
      <w:r w:rsidRPr="0028552B">
        <w:rPr>
          <w:rStyle w:val="FootnoteReference"/>
          <w:rFonts w:ascii="Times New Roman" w:hAnsi="Times New Roman" w:cs="Times New Roman"/>
        </w:rPr>
        <w:footnoteRef/>
      </w:r>
      <w:r w:rsidRPr="0028552B">
        <w:rPr>
          <w:rFonts w:ascii="Times New Roman" w:hAnsi="Times New Roman" w:cs="Times New Roman"/>
        </w:rPr>
        <w:t xml:space="preserve"> </w:t>
      </w:r>
      <w:hyperlink r:id="rId3" w:history="1">
        <w:r w:rsidRPr="0028552B">
          <w:rPr>
            <w:rStyle w:val="Hyperlink"/>
            <w:rFonts w:ascii="Times New Roman" w:hAnsi="Times New Roman" w:cs="Times New Roman"/>
          </w:rPr>
          <w:t>https://ternercenter.berkeley.edu/blog/estimating-covid-19-impact-renters</w:t>
        </w:r>
      </w:hyperlink>
      <w:r w:rsidRPr="0028552B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99D8" w14:textId="77777777" w:rsidR="008C6448" w:rsidRDefault="008C6448" w:rsidP="008C64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0026"/>
    <w:multiLevelType w:val="hybridMultilevel"/>
    <w:tmpl w:val="A4829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07D3A"/>
    <w:multiLevelType w:val="multilevel"/>
    <w:tmpl w:val="C11E0BE8"/>
    <w:lvl w:ilvl="0">
      <w:start w:val="1"/>
      <w:numFmt w:val="bullet"/>
      <w:lvlText w:val="●"/>
      <w:lvlJc w:val="left"/>
      <w:pPr>
        <w:ind w:left="720" w:hanging="99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57"/>
    <w:rsid w:val="000D5A67"/>
    <w:rsid w:val="00185335"/>
    <w:rsid w:val="001C65D3"/>
    <w:rsid w:val="001D7E84"/>
    <w:rsid w:val="00243D7B"/>
    <w:rsid w:val="0028552B"/>
    <w:rsid w:val="00325116"/>
    <w:rsid w:val="003E64F7"/>
    <w:rsid w:val="00432140"/>
    <w:rsid w:val="004E5060"/>
    <w:rsid w:val="005622D2"/>
    <w:rsid w:val="0056258D"/>
    <w:rsid w:val="006215F9"/>
    <w:rsid w:val="006447E3"/>
    <w:rsid w:val="00665435"/>
    <w:rsid w:val="00716F06"/>
    <w:rsid w:val="00721E83"/>
    <w:rsid w:val="00752E19"/>
    <w:rsid w:val="00775815"/>
    <w:rsid w:val="00775CC9"/>
    <w:rsid w:val="007B7D17"/>
    <w:rsid w:val="007F7FB9"/>
    <w:rsid w:val="008054B4"/>
    <w:rsid w:val="0087048C"/>
    <w:rsid w:val="008C0F92"/>
    <w:rsid w:val="008C6448"/>
    <w:rsid w:val="008F357D"/>
    <w:rsid w:val="00954692"/>
    <w:rsid w:val="00A836A6"/>
    <w:rsid w:val="00A85D92"/>
    <w:rsid w:val="00AC446A"/>
    <w:rsid w:val="00AD4E39"/>
    <w:rsid w:val="00AE024D"/>
    <w:rsid w:val="00AF4949"/>
    <w:rsid w:val="00B01B83"/>
    <w:rsid w:val="00B1238F"/>
    <w:rsid w:val="00B211EF"/>
    <w:rsid w:val="00B70057"/>
    <w:rsid w:val="00B96EFC"/>
    <w:rsid w:val="00C368C4"/>
    <w:rsid w:val="00C468FC"/>
    <w:rsid w:val="00D11B5F"/>
    <w:rsid w:val="00D833AE"/>
    <w:rsid w:val="00DA6342"/>
    <w:rsid w:val="00DD0DBD"/>
    <w:rsid w:val="00F166CC"/>
    <w:rsid w:val="00F7381C"/>
    <w:rsid w:val="00FD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0D26"/>
  <w15:docId w15:val="{0FE5BBF8-67B9-44F4-97EE-A674DAE9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70057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0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05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7005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0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057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81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0F9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F9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0F92"/>
    <w:rPr>
      <w:vertAlign w:val="superscript"/>
    </w:rPr>
  </w:style>
  <w:style w:type="paragraph" w:styleId="ListParagraph">
    <w:name w:val="List Paragraph"/>
    <w:basedOn w:val="Normal"/>
    <w:rsid w:val="00AC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64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ihc.org/resource/hud-cpd-announces-initial-cares-act-cdbg-esg-and-hopwa-supplemental-formula-alloc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rindel@nhtinc.or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ernercenter.berkeley.edu/blog/estimating-covid-19-impact-renters" TargetMode="External"/><Relationship Id="rId2" Type="http://schemas.openxmlformats.org/officeDocument/2006/relationships/hyperlink" Target="https://nlihc.org/sites/default/files/Need-for-Rental-Assistance-During-the-COVID-19-and-Economic-Crisis.pdf" TargetMode="External"/><Relationship Id="rId1" Type="http://schemas.openxmlformats.org/officeDocument/2006/relationships/hyperlink" Target="https://www.urban.org/urban-wire/covid-19-policy-responses-must-consider-pandemics-impact-young-renters-and-renters-co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BA4B-7728-4020-BDB1-9EF9773F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Brindel</dc:creator>
  <cp:keywords/>
  <dc:description/>
  <cp:lastModifiedBy>Ellen Lurie Hoffman</cp:lastModifiedBy>
  <cp:revision>8</cp:revision>
  <dcterms:created xsi:type="dcterms:W3CDTF">2020-05-05T19:17:00Z</dcterms:created>
  <dcterms:modified xsi:type="dcterms:W3CDTF">2020-05-05T21:37:00Z</dcterms:modified>
</cp:coreProperties>
</file>